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1871" w14:textId="47620F9B" w:rsidR="009554B8" w:rsidRDefault="003D3BEA" w:rsidP="003D3BEA">
      <w:pPr>
        <w:jc w:val="center"/>
      </w:pPr>
      <w:r>
        <w:rPr>
          <w:noProof/>
        </w:rPr>
        <w:drawing>
          <wp:inline distT="0" distB="0" distL="0" distR="0" wp14:anchorId="082DD750" wp14:editId="369D30B3">
            <wp:extent cx="763114" cy="971210"/>
            <wp:effectExtent l="0" t="0" r="0" b="63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800" cy="977174"/>
                    </a:xfrm>
                    <a:prstGeom prst="rect">
                      <a:avLst/>
                    </a:prstGeom>
                  </pic:spPr>
                </pic:pic>
              </a:graphicData>
            </a:graphic>
          </wp:inline>
        </w:drawing>
      </w:r>
    </w:p>
    <w:p w14:paraId="17FD7937" w14:textId="5C4312D4" w:rsidR="003D3BEA" w:rsidRPr="003D3BEA" w:rsidRDefault="003D3BEA" w:rsidP="003D3BEA">
      <w:pPr>
        <w:jc w:val="center"/>
        <w:rPr>
          <w:sz w:val="48"/>
          <w:szCs w:val="48"/>
        </w:rPr>
      </w:pPr>
      <w:r w:rsidRPr="003D3BEA">
        <w:rPr>
          <w:sz w:val="48"/>
          <w:szCs w:val="48"/>
        </w:rPr>
        <w:t>Victorian Clay Target Association</w:t>
      </w:r>
    </w:p>
    <w:p w14:paraId="143628B5" w14:textId="77777777" w:rsidR="003D3BEA" w:rsidRDefault="003D3BEA" w:rsidP="003D3BEA">
      <w:pPr>
        <w:jc w:val="center"/>
      </w:pPr>
    </w:p>
    <w:p w14:paraId="46DD44F2" w14:textId="1571F878" w:rsidR="003D3BEA" w:rsidRPr="003D3BEA" w:rsidRDefault="003D3BEA" w:rsidP="003D3BEA">
      <w:pPr>
        <w:pStyle w:val="Heading3"/>
        <w:jc w:val="center"/>
        <w:rPr>
          <w:rFonts w:cs="Arial"/>
          <w:b w:val="0"/>
          <w:color w:val="007BBF"/>
          <w:sz w:val="48"/>
          <w:szCs w:val="48"/>
        </w:rPr>
      </w:pPr>
      <w:r w:rsidRPr="003D3BEA">
        <w:rPr>
          <w:rFonts w:cs="Arial"/>
          <w:b w:val="0"/>
          <w:color w:val="007BBF"/>
          <w:sz w:val="48"/>
          <w:szCs w:val="48"/>
        </w:rPr>
        <w:t>SUNSMART policy</w:t>
      </w:r>
    </w:p>
    <w:p w14:paraId="5055C845" w14:textId="77777777" w:rsidR="003D3BEA" w:rsidRPr="003D3BEA" w:rsidRDefault="003D3BEA" w:rsidP="003D3BEA">
      <w:pPr>
        <w:rPr>
          <w:rFonts w:eastAsia="MS Mincho"/>
          <w:lang w:val="en-US"/>
        </w:rPr>
      </w:pPr>
    </w:p>
    <w:p w14:paraId="31AADE1E" w14:textId="2CDDD2D4" w:rsidR="003D3BEA" w:rsidRPr="003D3BEA" w:rsidRDefault="003D3BEA" w:rsidP="003D3BEA">
      <w:pPr>
        <w:pStyle w:val="PlainText"/>
        <w:spacing w:after="120"/>
        <w:rPr>
          <w:rFonts w:ascii="Arial" w:eastAsia="MS Mincho" w:hAnsi="Arial"/>
          <w:sz w:val="24"/>
        </w:rPr>
      </w:pPr>
      <w:r w:rsidRPr="003D3BEA">
        <w:rPr>
          <w:rFonts w:ascii="Arial" w:eastAsia="MS Mincho" w:hAnsi="Arial"/>
          <w:sz w:val="24"/>
        </w:rPr>
        <w:t>The following policy is in place to help Victorian Clay Target Association minimise the risks of overexposure to UV.</w:t>
      </w:r>
    </w:p>
    <w:p w14:paraId="0317F573" w14:textId="77777777" w:rsidR="003D3BEA" w:rsidRPr="003D3BEA" w:rsidRDefault="003D3BEA" w:rsidP="003D3BEA">
      <w:pPr>
        <w:pStyle w:val="Heading2"/>
        <w:spacing w:before="400" w:after="60" w:line="240" w:lineRule="auto"/>
        <w:rPr>
          <w:rFonts w:eastAsia="MS Mincho" w:cs="Arial"/>
          <w:b/>
          <w:color w:val="auto"/>
          <w:spacing w:val="0"/>
          <w:sz w:val="24"/>
          <w:szCs w:val="24"/>
        </w:rPr>
      </w:pPr>
      <w:r w:rsidRPr="003D3BEA">
        <w:rPr>
          <w:rFonts w:eastAsia="MS Mincho" w:cs="Arial"/>
          <w:b/>
          <w:color w:val="auto"/>
          <w:spacing w:val="0"/>
          <w:sz w:val="24"/>
          <w:szCs w:val="24"/>
        </w:rPr>
        <w:t>Rationale</w:t>
      </w:r>
    </w:p>
    <w:p w14:paraId="492FFA5E" w14:textId="77777777" w:rsidR="003D3BEA" w:rsidRPr="003D3BEA" w:rsidRDefault="003D3BEA" w:rsidP="003D3BEA">
      <w:pPr>
        <w:rPr>
          <w:rFonts w:eastAsia="MS Mincho"/>
          <w:sz w:val="24"/>
          <w:szCs w:val="24"/>
        </w:rPr>
      </w:pPr>
      <w:r w:rsidRPr="003D3BEA">
        <w:rPr>
          <w:rFonts w:eastAsia="MS Mincho"/>
          <w:sz w:val="24"/>
          <w:szCs w:val="24"/>
        </w:rPr>
        <w:t xml:space="preserve">The sun’s ultraviolet (UV) radiation is the main cause of skin cancer. UV damage also causes sunburn, tanning, premature ageing and eye damage. Australia has one of the highest rates of skin cancer in the world. Two in three Australians will develop some form of skin cancer before the age of 70. </w:t>
      </w:r>
    </w:p>
    <w:p w14:paraId="50A4CDD4" w14:textId="77777777" w:rsidR="003D3BEA" w:rsidRPr="003D3BEA" w:rsidRDefault="003D3BEA" w:rsidP="003D3BEA">
      <w:pPr>
        <w:rPr>
          <w:rFonts w:eastAsia="MS Mincho"/>
          <w:sz w:val="24"/>
          <w:szCs w:val="24"/>
        </w:rPr>
      </w:pPr>
      <w:r w:rsidRPr="003D3BEA">
        <w:rPr>
          <w:rFonts w:eastAsia="MS Mincho"/>
          <w:sz w:val="24"/>
          <w:szCs w:val="24"/>
        </w:rPr>
        <w:t xml:space="preserve">Sunburn and other UV damage is common while playing or watching sport, when people are exposed to the sun’s UV radiation for long periods of time. </w:t>
      </w:r>
    </w:p>
    <w:p w14:paraId="5D791B26" w14:textId="77777777" w:rsidR="003D3BEA" w:rsidRPr="003D3BEA" w:rsidRDefault="003D3BEA" w:rsidP="003D3BEA">
      <w:pPr>
        <w:rPr>
          <w:rFonts w:eastAsia="MS Mincho"/>
          <w:sz w:val="24"/>
          <w:szCs w:val="24"/>
        </w:rPr>
      </w:pPr>
      <w:r w:rsidRPr="003D3BEA">
        <w:rPr>
          <w:rFonts w:eastAsia="MS Mincho"/>
          <w:sz w:val="24"/>
          <w:szCs w:val="24"/>
        </w:rPr>
        <w:t>Sporting clubs and organisations have a responsibility under health and safety legislation to provide and maintain a safe working environment for staff, volunteers, players and spectators. By minimising UV harms, you will help to fulfil this obligation and duty of care.</w:t>
      </w:r>
    </w:p>
    <w:p w14:paraId="0A13788B" w14:textId="77777777" w:rsidR="003D3BEA" w:rsidRPr="003D3BEA" w:rsidRDefault="003D3BEA" w:rsidP="003D3BEA">
      <w:pPr>
        <w:rPr>
          <w:rFonts w:eastAsia="MS Mincho"/>
          <w:sz w:val="24"/>
          <w:szCs w:val="24"/>
        </w:rPr>
      </w:pPr>
    </w:p>
    <w:p w14:paraId="28042A04" w14:textId="77777777" w:rsidR="003D3BEA" w:rsidRPr="003D3BEA" w:rsidRDefault="003D3BEA" w:rsidP="003D3BEA">
      <w:pPr>
        <w:spacing w:after="120"/>
        <w:ind w:left="709" w:hanging="709"/>
        <w:rPr>
          <w:rFonts w:eastAsia="MS Mincho"/>
          <w:sz w:val="24"/>
          <w:szCs w:val="24"/>
        </w:rPr>
      </w:pPr>
      <w:r w:rsidRPr="003D3BEA">
        <w:rPr>
          <w:rFonts w:eastAsia="MS Mincho" w:cs="Arial"/>
          <w:b/>
          <w:sz w:val="24"/>
          <w:szCs w:val="24"/>
        </w:rPr>
        <w:t>Sun protection times</w:t>
      </w:r>
    </w:p>
    <w:p w14:paraId="42CC93CD" w14:textId="77777777" w:rsidR="003D3BEA" w:rsidRPr="003D3BEA" w:rsidRDefault="003D3BEA" w:rsidP="003D3BEA">
      <w:pPr>
        <w:keepNext/>
        <w:numPr>
          <w:ilvl w:val="0"/>
          <w:numId w:val="2"/>
        </w:numPr>
        <w:outlineLvl w:val="3"/>
        <w:rPr>
          <w:rFonts w:cs="Arial"/>
          <w:sz w:val="24"/>
          <w:szCs w:val="24"/>
        </w:rPr>
      </w:pPr>
      <w:r w:rsidRPr="003D3BEA">
        <w:rPr>
          <w:rFonts w:cs="Arial"/>
          <w:sz w:val="24"/>
          <w:szCs w:val="24"/>
        </w:rPr>
        <w:t>The sun protection times from the Bureau of Meteorology forecast the time of day UV levels are due to reach 3 or higher. At these levels, sun protection is recommended for all skin types. In Victoria, UV levels regularly reach 3 or higher from mid-August to the end of April.</w:t>
      </w:r>
    </w:p>
    <w:p w14:paraId="3D4EE9BA" w14:textId="77777777" w:rsidR="003D3BEA" w:rsidRPr="003D3BEA" w:rsidRDefault="003D3BEA" w:rsidP="003D3BEA">
      <w:pPr>
        <w:keepNext/>
        <w:numPr>
          <w:ilvl w:val="0"/>
          <w:numId w:val="2"/>
        </w:numPr>
        <w:outlineLvl w:val="3"/>
        <w:rPr>
          <w:rFonts w:eastAsia="MS Mincho"/>
          <w:sz w:val="24"/>
          <w:szCs w:val="24"/>
        </w:rPr>
      </w:pPr>
      <w:r w:rsidRPr="003D3BEA">
        <w:rPr>
          <w:rFonts w:eastAsia="MS Mincho"/>
          <w:sz w:val="24"/>
          <w:szCs w:val="24"/>
        </w:rPr>
        <w:t xml:space="preserve">A combination of sun protection measures are needed during the daily local sun protection times. </w:t>
      </w:r>
    </w:p>
    <w:p w14:paraId="17695EA3" w14:textId="64900418" w:rsidR="003D3BEA" w:rsidRPr="003D3BEA" w:rsidRDefault="003D3BEA" w:rsidP="003D3BEA">
      <w:pPr>
        <w:pStyle w:val="ListBullet"/>
        <w:rPr>
          <w:sz w:val="24"/>
          <w:szCs w:val="24"/>
        </w:rPr>
      </w:pPr>
      <w:r w:rsidRPr="003D3BEA">
        <w:rPr>
          <w:sz w:val="24"/>
          <w:szCs w:val="24"/>
        </w:rPr>
        <w:t xml:space="preserve">To assist with the implementation of this policy, club officials, coaches and participants are encouraged to access the daily local sun protection times at </w:t>
      </w:r>
      <w:r w:rsidRPr="003D3BEA">
        <w:rPr>
          <w:color w:val="0000FF"/>
          <w:sz w:val="24"/>
          <w:szCs w:val="24"/>
          <w:u w:val="single"/>
        </w:rPr>
        <w:t>sunsmart.com.au</w:t>
      </w:r>
      <w:r w:rsidRPr="003D3BEA">
        <w:rPr>
          <w:sz w:val="24"/>
          <w:szCs w:val="24"/>
        </w:rPr>
        <w:t xml:space="preserve">, on the free SunSmart app or SunSmart widget and in the weather section of the newspaper. </w:t>
      </w:r>
    </w:p>
    <w:p w14:paraId="4060536E" w14:textId="26BB1A5A" w:rsidR="003D3BEA" w:rsidRDefault="003D3BEA" w:rsidP="003D3BEA">
      <w:pPr>
        <w:spacing w:after="0" w:line="240" w:lineRule="auto"/>
        <w:rPr>
          <w:rFonts w:eastAsia="MS Mincho"/>
          <w:sz w:val="24"/>
          <w:szCs w:val="24"/>
        </w:rPr>
      </w:pPr>
    </w:p>
    <w:p w14:paraId="72EEC7DB" w14:textId="77777777" w:rsidR="003D3BEA" w:rsidRPr="003D3BEA" w:rsidRDefault="003D3BEA" w:rsidP="003D3BEA">
      <w:pPr>
        <w:spacing w:after="0" w:line="240" w:lineRule="auto"/>
        <w:rPr>
          <w:rFonts w:eastAsia="MS Mincho"/>
          <w:sz w:val="24"/>
          <w:szCs w:val="24"/>
        </w:rPr>
      </w:pPr>
    </w:p>
    <w:p w14:paraId="4A6D6FFD" w14:textId="03F9F1BA" w:rsidR="003D3BEA" w:rsidRPr="003D3BEA" w:rsidRDefault="003D3BEA" w:rsidP="003D3BEA">
      <w:pPr>
        <w:spacing w:after="120"/>
        <w:rPr>
          <w:rFonts w:eastAsia="MS Mincho"/>
          <w:b/>
          <w:sz w:val="24"/>
          <w:szCs w:val="24"/>
        </w:rPr>
      </w:pPr>
      <w:r w:rsidRPr="003D3BEA">
        <w:rPr>
          <w:rFonts w:eastAsia="MS Mincho" w:cs="Arial"/>
          <w:b/>
          <w:sz w:val="24"/>
          <w:szCs w:val="24"/>
        </w:rPr>
        <w:t>Schedules, fixtures and rule modifications</w:t>
      </w:r>
      <w:r w:rsidRPr="003D3BEA">
        <w:rPr>
          <w:rFonts w:eastAsia="MS Mincho"/>
          <w:b/>
          <w:sz w:val="24"/>
          <w:szCs w:val="24"/>
        </w:rPr>
        <w:t xml:space="preserve"> (including a cancellation policy)</w:t>
      </w:r>
    </w:p>
    <w:p w14:paraId="636E0C42" w14:textId="481A6C80" w:rsidR="003D3BEA" w:rsidRPr="003D3BEA" w:rsidRDefault="003D3BEA" w:rsidP="003D3BEA">
      <w:pPr>
        <w:pStyle w:val="ListBullet"/>
        <w:rPr>
          <w:sz w:val="24"/>
          <w:szCs w:val="24"/>
        </w:rPr>
      </w:pPr>
      <w:r w:rsidRPr="003D3BEA">
        <w:rPr>
          <w:sz w:val="24"/>
          <w:szCs w:val="24"/>
        </w:rPr>
        <w:t xml:space="preserve">Where possible, training, events and competitions are scheduled to minimize exposure to UV and heat. </w:t>
      </w:r>
    </w:p>
    <w:p w14:paraId="0FD92788" w14:textId="6A7426CE" w:rsidR="003D3BEA" w:rsidRPr="003D3BEA" w:rsidRDefault="003D3BEA" w:rsidP="003D3BEA">
      <w:pPr>
        <w:pStyle w:val="ListBullet"/>
        <w:rPr>
          <w:sz w:val="24"/>
          <w:szCs w:val="24"/>
        </w:rPr>
      </w:pPr>
      <w:r w:rsidRPr="003D3BEA">
        <w:rPr>
          <w:sz w:val="24"/>
          <w:szCs w:val="24"/>
        </w:rPr>
        <w:t xml:space="preserve">Cancellation of training, events or competition occurs (according to the rules of </w:t>
      </w:r>
      <w:r>
        <w:rPr>
          <w:sz w:val="24"/>
          <w:szCs w:val="24"/>
        </w:rPr>
        <w:t>the Victorian Clay Target Association</w:t>
      </w:r>
      <w:r w:rsidRPr="003D3BEA">
        <w:rPr>
          <w:sz w:val="24"/>
          <w:szCs w:val="24"/>
        </w:rPr>
        <w:t>) when high risk conditions are forecast.</w:t>
      </w:r>
    </w:p>
    <w:p w14:paraId="18CE40EF" w14:textId="77777777" w:rsidR="003D3BEA" w:rsidRPr="003D3BEA" w:rsidRDefault="003D3BEA" w:rsidP="003D3BEA">
      <w:pPr>
        <w:spacing w:after="120"/>
        <w:rPr>
          <w:rFonts w:eastAsia="MS Mincho"/>
          <w:sz w:val="24"/>
          <w:szCs w:val="24"/>
        </w:rPr>
      </w:pPr>
    </w:p>
    <w:p w14:paraId="3B9DD0F7" w14:textId="77777777" w:rsidR="003D3BEA" w:rsidRPr="003D3BEA" w:rsidRDefault="003D3BEA" w:rsidP="003D3BEA">
      <w:pPr>
        <w:spacing w:after="120"/>
        <w:rPr>
          <w:rFonts w:eastAsia="MS Mincho"/>
          <w:sz w:val="24"/>
          <w:szCs w:val="24"/>
        </w:rPr>
      </w:pPr>
      <w:r w:rsidRPr="003D3BEA">
        <w:rPr>
          <w:rFonts w:eastAsia="MS Mincho"/>
          <w:sz w:val="24"/>
          <w:szCs w:val="24"/>
        </w:rPr>
        <w:t>Where it is not possible to avoid peak UV and heat periods, the following interim steps are taken to minimise the risk of overexposure to UV and heat illness:</w:t>
      </w:r>
    </w:p>
    <w:p w14:paraId="306659CA" w14:textId="77777777" w:rsidR="003D3BEA" w:rsidRPr="003D3BEA" w:rsidRDefault="003D3BEA" w:rsidP="003D3BEA">
      <w:pPr>
        <w:pStyle w:val="ListBullet"/>
        <w:rPr>
          <w:sz w:val="24"/>
          <w:szCs w:val="24"/>
        </w:rPr>
      </w:pPr>
      <w:r w:rsidRPr="003D3BEA">
        <w:rPr>
          <w:sz w:val="24"/>
          <w:szCs w:val="24"/>
        </w:rPr>
        <w:t>Warm-up activities are limited in duration and intensity.</w:t>
      </w:r>
    </w:p>
    <w:p w14:paraId="618F6DDA" w14:textId="77777777" w:rsidR="003D3BEA" w:rsidRPr="003D3BEA" w:rsidRDefault="003D3BEA" w:rsidP="003D3BEA">
      <w:pPr>
        <w:pStyle w:val="ListBullet"/>
        <w:rPr>
          <w:sz w:val="24"/>
          <w:szCs w:val="24"/>
        </w:rPr>
      </w:pPr>
      <w:r w:rsidRPr="003D3BEA">
        <w:rPr>
          <w:sz w:val="24"/>
          <w:szCs w:val="24"/>
        </w:rPr>
        <w:t>The duration of the activity is reduced.</w:t>
      </w:r>
    </w:p>
    <w:p w14:paraId="56762B5F" w14:textId="77777777" w:rsidR="003D3BEA" w:rsidRPr="003D3BEA" w:rsidRDefault="003D3BEA" w:rsidP="003D3BEA">
      <w:pPr>
        <w:pStyle w:val="ListBullet"/>
        <w:rPr>
          <w:sz w:val="24"/>
          <w:szCs w:val="24"/>
        </w:rPr>
      </w:pPr>
      <w:r w:rsidRPr="003D3BEA">
        <w:rPr>
          <w:sz w:val="24"/>
          <w:szCs w:val="24"/>
        </w:rPr>
        <w:t>Activities start earlier in the morning or later in the evening.</w:t>
      </w:r>
    </w:p>
    <w:p w14:paraId="0E6AB9ED" w14:textId="77777777" w:rsidR="003D3BEA" w:rsidRPr="003D3BEA" w:rsidRDefault="003D3BEA" w:rsidP="003D3BEA">
      <w:pPr>
        <w:pStyle w:val="ListBullet"/>
        <w:rPr>
          <w:sz w:val="24"/>
          <w:szCs w:val="24"/>
        </w:rPr>
      </w:pPr>
      <w:r w:rsidRPr="003D3BEA">
        <w:rPr>
          <w:sz w:val="24"/>
          <w:szCs w:val="24"/>
        </w:rPr>
        <w:t>Rest breaks and opportunities to seek shade and rehydrate are increased.</w:t>
      </w:r>
    </w:p>
    <w:p w14:paraId="2F6B677B" w14:textId="77777777" w:rsidR="003D3BEA" w:rsidRPr="003D3BEA" w:rsidRDefault="003D3BEA" w:rsidP="003D3BEA">
      <w:pPr>
        <w:pStyle w:val="ListBullet"/>
        <w:rPr>
          <w:sz w:val="24"/>
          <w:szCs w:val="24"/>
        </w:rPr>
      </w:pPr>
      <w:r w:rsidRPr="003D3BEA">
        <w:rPr>
          <w:sz w:val="24"/>
          <w:szCs w:val="24"/>
        </w:rPr>
        <w:lastRenderedPageBreak/>
        <w:t>Officials rotate out of the sun more frequently than usual.</w:t>
      </w:r>
    </w:p>
    <w:p w14:paraId="30FCE4AF" w14:textId="77777777" w:rsidR="003D3BEA" w:rsidRPr="003D3BEA" w:rsidRDefault="003D3BEA" w:rsidP="003D3BEA">
      <w:pPr>
        <w:pStyle w:val="ListBullet"/>
        <w:rPr>
          <w:sz w:val="24"/>
          <w:szCs w:val="24"/>
        </w:rPr>
      </w:pPr>
      <w:r w:rsidRPr="003D3BEA">
        <w:rPr>
          <w:sz w:val="24"/>
          <w:szCs w:val="24"/>
        </w:rPr>
        <w:t>Officials, coaches and senior members act as role models by wearing sun-protective clothing and hats, applying sunscreen and seeking shade wherever possible.</w:t>
      </w:r>
    </w:p>
    <w:p w14:paraId="70DDE29D" w14:textId="77777777" w:rsidR="003D3BEA" w:rsidRPr="003D3BEA" w:rsidRDefault="003D3BEA" w:rsidP="003D3BEA">
      <w:pPr>
        <w:spacing w:after="120"/>
        <w:ind w:left="709" w:hanging="283"/>
        <w:rPr>
          <w:rFonts w:eastAsia="MS Mincho"/>
          <w:sz w:val="24"/>
          <w:szCs w:val="24"/>
        </w:rPr>
      </w:pPr>
    </w:p>
    <w:p w14:paraId="0B4BA776" w14:textId="77777777" w:rsidR="003D3BEA" w:rsidRPr="003D3BEA" w:rsidRDefault="003D3BEA" w:rsidP="003D3BEA">
      <w:pPr>
        <w:spacing w:after="120"/>
        <w:ind w:left="709" w:hanging="709"/>
        <w:rPr>
          <w:rFonts w:eastAsia="MS Mincho" w:cs="Arial"/>
          <w:b/>
          <w:sz w:val="24"/>
          <w:szCs w:val="24"/>
        </w:rPr>
      </w:pPr>
      <w:r w:rsidRPr="003D3BEA">
        <w:rPr>
          <w:rFonts w:eastAsia="MS Mincho" w:cs="Arial"/>
          <w:b/>
          <w:sz w:val="24"/>
          <w:szCs w:val="24"/>
        </w:rPr>
        <w:t>Sun protection measures</w:t>
      </w:r>
    </w:p>
    <w:p w14:paraId="7064083F" w14:textId="77777777" w:rsidR="003D3BEA" w:rsidRPr="003D3BEA" w:rsidRDefault="003D3BEA" w:rsidP="003D3BEA">
      <w:pPr>
        <w:numPr>
          <w:ilvl w:val="0"/>
          <w:numId w:val="3"/>
        </w:numPr>
        <w:spacing w:after="120"/>
        <w:rPr>
          <w:rFonts w:eastAsia="MS Mincho"/>
          <w:b/>
          <w:sz w:val="24"/>
          <w:szCs w:val="24"/>
        </w:rPr>
      </w:pPr>
      <w:r w:rsidRPr="003D3BEA">
        <w:rPr>
          <w:rFonts w:eastAsia="MS Mincho"/>
          <w:b/>
          <w:sz w:val="24"/>
          <w:szCs w:val="24"/>
        </w:rPr>
        <w:t xml:space="preserve">Clothing </w:t>
      </w:r>
    </w:p>
    <w:p w14:paraId="489D436F" w14:textId="77777777" w:rsidR="003D3BEA" w:rsidRPr="003D3BEA" w:rsidRDefault="003D3BEA" w:rsidP="003D3BEA">
      <w:pPr>
        <w:pStyle w:val="ListBullet"/>
        <w:rPr>
          <w:sz w:val="24"/>
          <w:szCs w:val="24"/>
        </w:rPr>
      </w:pPr>
      <w:r w:rsidRPr="003D3BEA">
        <w:rPr>
          <w:sz w:val="24"/>
          <w:szCs w:val="24"/>
        </w:rPr>
        <w:t xml:space="preserve">Sun-protective clothing is included as part of on and off-field uniform and uniform for officials and volunteers. </w:t>
      </w:r>
    </w:p>
    <w:p w14:paraId="5430DE8D" w14:textId="77777777" w:rsidR="003D3BEA" w:rsidRPr="003D3BEA" w:rsidRDefault="003D3BEA" w:rsidP="003D3BEA">
      <w:pPr>
        <w:pStyle w:val="ListBullet"/>
        <w:rPr>
          <w:sz w:val="24"/>
          <w:szCs w:val="24"/>
        </w:rPr>
      </w:pPr>
      <w:r w:rsidRPr="003D3BEA">
        <w:rPr>
          <w:sz w:val="24"/>
          <w:szCs w:val="24"/>
        </w:rPr>
        <w:t>Tops/jerseys are made from UPF (UV protection factor) 50+ material and have long sleeves and a collar.</w:t>
      </w:r>
    </w:p>
    <w:p w14:paraId="71D6B045" w14:textId="77777777" w:rsidR="003D3BEA" w:rsidRPr="003D3BEA" w:rsidRDefault="003D3BEA" w:rsidP="003D3BEA">
      <w:pPr>
        <w:pStyle w:val="ListBullet"/>
        <w:rPr>
          <w:sz w:val="24"/>
          <w:szCs w:val="24"/>
        </w:rPr>
      </w:pPr>
      <w:r w:rsidRPr="003D3BEA">
        <w:rPr>
          <w:sz w:val="24"/>
          <w:szCs w:val="24"/>
        </w:rPr>
        <w:t>Tops/jerseys are loose-fitting and lightweight.</w:t>
      </w:r>
    </w:p>
    <w:p w14:paraId="54353A3B" w14:textId="293ECE00" w:rsidR="003D3BEA" w:rsidRDefault="003D3BEA" w:rsidP="003D3BEA">
      <w:pPr>
        <w:pStyle w:val="ListBullet"/>
        <w:rPr>
          <w:sz w:val="24"/>
          <w:szCs w:val="24"/>
        </w:rPr>
      </w:pPr>
      <w:r w:rsidRPr="003D3BEA">
        <w:rPr>
          <w:sz w:val="24"/>
          <w:szCs w:val="24"/>
        </w:rPr>
        <w:t>Where the competition uniform does not provide adequate sun protection, participants are reminded to apply SPF30 (or higher) broad-spectrum, water-resistant sunscreen to all exposed skin and wear covering clothing whilst not on the field.</w:t>
      </w:r>
    </w:p>
    <w:p w14:paraId="6971A1E6" w14:textId="77777777" w:rsidR="003D3BEA" w:rsidRPr="003D3BEA" w:rsidRDefault="003D3BEA" w:rsidP="003D3BEA">
      <w:pPr>
        <w:pStyle w:val="ListBullet"/>
        <w:numPr>
          <w:ilvl w:val="0"/>
          <w:numId w:val="0"/>
        </w:numPr>
        <w:ind w:left="360"/>
        <w:rPr>
          <w:sz w:val="24"/>
          <w:szCs w:val="24"/>
        </w:rPr>
      </w:pPr>
    </w:p>
    <w:p w14:paraId="1907CA52" w14:textId="3167E398" w:rsidR="003D3BEA" w:rsidRPr="003D3BEA" w:rsidRDefault="003D3BEA" w:rsidP="003D3BEA">
      <w:pPr>
        <w:pStyle w:val="ListParagraph"/>
        <w:numPr>
          <w:ilvl w:val="0"/>
          <w:numId w:val="3"/>
        </w:numPr>
        <w:spacing w:after="120"/>
        <w:rPr>
          <w:rFonts w:eastAsia="MS Mincho"/>
          <w:b/>
          <w:sz w:val="24"/>
          <w:szCs w:val="24"/>
        </w:rPr>
      </w:pPr>
      <w:r w:rsidRPr="003D3BEA">
        <w:rPr>
          <w:rFonts w:eastAsia="MS Mincho"/>
          <w:b/>
          <w:sz w:val="24"/>
          <w:szCs w:val="24"/>
        </w:rPr>
        <w:t>Sunscreen</w:t>
      </w:r>
    </w:p>
    <w:p w14:paraId="5AE959F2" w14:textId="77777777" w:rsidR="003D3BEA" w:rsidRPr="003D3BEA" w:rsidRDefault="003D3BEA" w:rsidP="003D3BEA">
      <w:pPr>
        <w:pStyle w:val="ListBullet"/>
        <w:rPr>
          <w:sz w:val="24"/>
          <w:szCs w:val="24"/>
        </w:rPr>
      </w:pPr>
      <w:r w:rsidRPr="003D3BEA">
        <w:rPr>
          <w:sz w:val="24"/>
          <w:szCs w:val="24"/>
        </w:rPr>
        <w:t xml:space="preserve">SPF30 (or higher) broad-spectrum, water- resistant sunscreen is promoted and/or provided to participants. </w:t>
      </w:r>
    </w:p>
    <w:p w14:paraId="452C6E8F" w14:textId="44D3B897" w:rsidR="003D3BEA" w:rsidRPr="003D3BEA" w:rsidRDefault="003D3BEA" w:rsidP="003D3BEA">
      <w:pPr>
        <w:pStyle w:val="ListBullet"/>
        <w:rPr>
          <w:sz w:val="24"/>
          <w:szCs w:val="24"/>
        </w:rPr>
      </w:pPr>
      <w:r w:rsidRPr="003D3BEA">
        <w:rPr>
          <w:sz w:val="24"/>
          <w:szCs w:val="24"/>
        </w:rPr>
        <w:t>Participants are encouraged to apply sunscreen 20 minutes before training or playing and to reapply every two hours or immediately after sweating</w:t>
      </w:r>
      <w:r>
        <w:rPr>
          <w:sz w:val="24"/>
          <w:szCs w:val="24"/>
        </w:rPr>
        <w:t xml:space="preserve"> </w:t>
      </w:r>
      <w:r w:rsidRPr="003D3BEA">
        <w:rPr>
          <w:sz w:val="24"/>
          <w:szCs w:val="24"/>
        </w:rPr>
        <w:t>or toweling dry.</w:t>
      </w:r>
    </w:p>
    <w:p w14:paraId="549A2F07" w14:textId="77777777" w:rsidR="003D3BEA" w:rsidRPr="003D3BEA" w:rsidRDefault="003D3BEA" w:rsidP="003D3BEA">
      <w:pPr>
        <w:pStyle w:val="ListBullet"/>
        <w:rPr>
          <w:sz w:val="24"/>
          <w:szCs w:val="24"/>
        </w:rPr>
      </w:pPr>
      <w:r w:rsidRPr="003D3BEA">
        <w:rPr>
          <w:sz w:val="24"/>
          <w:szCs w:val="24"/>
        </w:rPr>
        <w:t>Sunscreen is stored below 30°C and replaced once it is past the use-by date.</w:t>
      </w:r>
    </w:p>
    <w:p w14:paraId="3A0AF988" w14:textId="77777777" w:rsidR="003D3BEA" w:rsidRPr="003D3BEA" w:rsidRDefault="003D3BEA" w:rsidP="003D3BEA">
      <w:pPr>
        <w:pStyle w:val="ListBullet"/>
        <w:rPr>
          <w:sz w:val="24"/>
          <w:szCs w:val="24"/>
        </w:rPr>
      </w:pPr>
      <w:r w:rsidRPr="003D3BEA">
        <w:rPr>
          <w:sz w:val="24"/>
          <w:szCs w:val="24"/>
        </w:rPr>
        <w:t>Participants are encouraged to apply a generous amount of sunscreen (the equivalent of one teaspoon per limb).</w:t>
      </w:r>
    </w:p>
    <w:p w14:paraId="5213B604" w14:textId="77777777" w:rsidR="003D3BEA" w:rsidRPr="003D3BEA" w:rsidRDefault="003D3BEA" w:rsidP="003D3BEA">
      <w:pPr>
        <w:pStyle w:val="ListBullet"/>
        <w:rPr>
          <w:sz w:val="24"/>
          <w:szCs w:val="24"/>
        </w:rPr>
      </w:pPr>
      <w:r w:rsidRPr="003D3BEA">
        <w:rPr>
          <w:sz w:val="24"/>
          <w:szCs w:val="24"/>
        </w:rPr>
        <w:t>The first aid kit includes a supply of SPF30 (or higher) broad-spectrum, water-resistant sunscreen.</w:t>
      </w:r>
    </w:p>
    <w:p w14:paraId="593A8899" w14:textId="77777777" w:rsidR="003D3BEA" w:rsidRPr="003D3BEA" w:rsidRDefault="003D3BEA" w:rsidP="003D3BEA">
      <w:pPr>
        <w:spacing w:after="120"/>
        <w:ind w:left="709" w:hanging="709"/>
        <w:rPr>
          <w:rFonts w:eastAsia="MS Mincho"/>
          <w:b/>
          <w:sz w:val="24"/>
          <w:szCs w:val="24"/>
        </w:rPr>
      </w:pPr>
    </w:p>
    <w:p w14:paraId="35974AEC" w14:textId="77777777" w:rsidR="003D3BEA" w:rsidRPr="003D3BEA" w:rsidRDefault="003D3BEA" w:rsidP="003D3BEA">
      <w:pPr>
        <w:numPr>
          <w:ilvl w:val="0"/>
          <w:numId w:val="3"/>
        </w:numPr>
        <w:spacing w:after="120"/>
        <w:rPr>
          <w:rFonts w:eastAsia="MS Mincho"/>
          <w:b/>
          <w:sz w:val="24"/>
          <w:szCs w:val="24"/>
        </w:rPr>
      </w:pPr>
      <w:r w:rsidRPr="003D3BEA">
        <w:rPr>
          <w:rFonts w:eastAsia="MS Mincho"/>
          <w:b/>
          <w:sz w:val="24"/>
          <w:szCs w:val="24"/>
        </w:rPr>
        <w:t>Hats</w:t>
      </w:r>
    </w:p>
    <w:p w14:paraId="08220473" w14:textId="77777777" w:rsidR="003D3BEA" w:rsidRPr="003D3BEA" w:rsidRDefault="003D3BEA" w:rsidP="003D3BEA">
      <w:pPr>
        <w:pStyle w:val="ListBullet"/>
        <w:rPr>
          <w:rFonts w:eastAsia="MS Mincho"/>
          <w:b/>
          <w:sz w:val="24"/>
          <w:szCs w:val="24"/>
        </w:rPr>
      </w:pPr>
      <w:r w:rsidRPr="003D3BEA">
        <w:rPr>
          <w:sz w:val="24"/>
          <w:szCs w:val="24"/>
        </w:rPr>
        <w:t xml:space="preserve">Wide-brimmed or bucket hats are included as part of the on and off-field uniform (even if they can't be worn in actual play). </w:t>
      </w:r>
    </w:p>
    <w:p w14:paraId="1C11528C" w14:textId="77777777" w:rsidR="003D3BEA" w:rsidRPr="003D3BEA" w:rsidRDefault="003D3BEA" w:rsidP="003D3BEA">
      <w:pPr>
        <w:pStyle w:val="ListBullet"/>
        <w:rPr>
          <w:rFonts w:eastAsia="MS Mincho"/>
          <w:b/>
          <w:sz w:val="24"/>
          <w:szCs w:val="24"/>
        </w:rPr>
      </w:pPr>
      <w:r w:rsidRPr="003D3BEA">
        <w:rPr>
          <w:sz w:val="24"/>
          <w:szCs w:val="24"/>
        </w:rPr>
        <w:t>Caps and visors do not provide adequate sun protection to the face, ears and neck and are not recommended for extended sun protection but may be used, in combination with sunscreen on parts of skin not covered, as an interim measure for on-field play or training.</w:t>
      </w:r>
    </w:p>
    <w:p w14:paraId="5F988320" w14:textId="77777777" w:rsidR="003D3BEA" w:rsidRPr="003D3BEA" w:rsidRDefault="003D3BEA" w:rsidP="003D3BEA">
      <w:pPr>
        <w:pStyle w:val="ListBullet"/>
        <w:numPr>
          <w:ilvl w:val="0"/>
          <w:numId w:val="0"/>
        </w:numPr>
        <w:ind w:left="360"/>
        <w:rPr>
          <w:sz w:val="24"/>
          <w:szCs w:val="24"/>
        </w:rPr>
      </w:pPr>
    </w:p>
    <w:p w14:paraId="78EB3A4A" w14:textId="77777777" w:rsidR="003D3BEA" w:rsidRPr="003D3BEA" w:rsidRDefault="003D3BEA" w:rsidP="003D3BEA">
      <w:pPr>
        <w:numPr>
          <w:ilvl w:val="0"/>
          <w:numId w:val="3"/>
        </w:numPr>
        <w:spacing w:after="120"/>
        <w:rPr>
          <w:rFonts w:eastAsia="MS Mincho"/>
          <w:b/>
          <w:sz w:val="24"/>
          <w:szCs w:val="24"/>
        </w:rPr>
      </w:pPr>
      <w:r w:rsidRPr="003D3BEA">
        <w:rPr>
          <w:rFonts w:eastAsia="MS Mincho"/>
          <w:b/>
          <w:sz w:val="24"/>
          <w:szCs w:val="24"/>
        </w:rPr>
        <w:t>Shade</w:t>
      </w:r>
    </w:p>
    <w:p w14:paraId="732816A6" w14:textId="77777777" w:rsidR="003D3BEA" w:rsidRPr="003D3BEA" w:rsidRDefault="003D3BEA" w:rsidP="003D3BEA">
      <w:pPr>
        <w:pStyle w:val="ListBullet"/>
        <w:rPr>
          <w:sz w:val="24"/>
          <w:szCs w:val="24"/>
        </w:rPr>
      </w:pPr>
      <w:r w:rsidRPr="003D3BEA">
        <w:rPr>
          <w:sz w:val="24"/>
          <w:szCs w:val="24"/>
        </w:rPr>
        <w:t>An assessment of existing shade has been conducted at commonly used outdoor venues.</w:t>
      </w:r>
    </w:p>
    <w:p w14:paraId="63F9E28D" w14:textId="3A34F8C8" w:rsidR="003D3BEA" w:rsidRPr="003D3BEA" w:rsidRDefault="003D3BEA" w:rsidP="003D3BEA">
      <w:pPr>
        <w:pStyle w:val="ListBullet"/>
        <w:rPr>
          <w:sz w:val="24"/>
          <w:szCs w:val="24"/>
        </w:rPr>
      </w:pPr>
      <w:r w:rsidRPr="003D3BEA">
        <w:rPr>
          <w:sz w:val="24"/>
          <w:szCs w:val="24"/>
        </w:rPr>
        <w:t xml:space="preserve">When not actively </w:t>
      </w:r>
      <w:r>
        <w:rPr>
          <w:sz w:val="24"/>
          <w:szCs w:val="24"/>
        </w:rPr>
        <w:t>competing</w:t>
      </w:r>
      <w:r w:rsidRPr="003D3BEA">
        <w:rPr>
          <w:sz w:val="24"/>
          <w:szCs w:val="24"/>
        </w:rPr>
        <w:t xml:space="preserve"> or between individual events, participants are able to rest in shaded areas. </w:t>
      </w:r>
    </w:p>
    <w:p w14:paraId="04752BFE" w14:textId="77777777" w:rsidR="003D3BEA" w:rsidRPr="003D3BEA" w:rsidRDefault="003D3BEA" w:rsidP="003D3BEA">
      <w:pPr>
        <w:pStyle w:val="ListBullet"/>
        <w:rPr>
          <w:sz w:val="24"/>
          <w:szCs w:val="24"/>
        </w:rPr>
      </w:pPr>
      <w:r w:rsidRPr="003D3BEA">
        <w:rPr>
          <w:sz w:val="24"/>
          <w:szCs w:val="24"/>
        </w:rPr>
        <w:t>Where there is insufficient natural or built shade, temporary shade structures are provided or participants are notified to bring their own temporary shade (e.g. tents or umbrellas).</w:t>
      </w:r>
    </w:p>
    <w:p w14:paraId="1E2570EA" w14:textId="77777777" w:rsidR="003D3BEA" w:rsidRPr="003D3BEA" w:rsidRDefault="003D3BEA" w:rsidP="003D3BEA">
      <w:pPr>
        <w:pStyle w:val="ListBullet"/>
        <w:rPr>
          <w:sz w:val="24"/>
          <w:szCs w:val="24"/>
        </w:rPr>
      </w:pPr>
      <w:r w:rsidRPr="003D3BEA">
        <w:rPr>
          <w:sz w:val="24"/>
          <w:szCs w:val="24"/>
        </w:rPr>
        <w:t xml:space="preserve">Shade from buildings, trees and other structures is used where possible (e.g. for player interchange, marshalling areas, spectator areas). </w:t>
      </w:r>
    </w:p>
    <w:p w14:paraId="1D6978FB" w14:textId="77777777" w:rsidR="003D3BEA" w:rsidRPr="003D3BEA" w:rsidRDefault="003D3BEA" w:rsidP="003D3BEA">
      <w:pPr>
        <w:pStyle w:val="ListBullet"/>
        <w:rPr>
          <w:sz w:val="24"/>
          <w:szCs w:val="24"/>
        </w:rPr>
      </w:pPr>
      <w:r w:rsidRPr="003D3BEA">
        <w:rPr>
          <w:sz w:val="24"/>
          <w:szCs w:val="24"/>
        </w:rPr>
        <w:t xml:space="preserve">Marshalling, interchange and presentation ceremony areas are protected by shade. </w:t>
      </w:r>
    </w:p>
    <w:p w14:paraId="725302F5" w14:textId="77777777" w:rsidR="003D3BEA" w:rsidRPr="003D3BEA" w:rsidRDefault="003D3BEA" w:rsidP="003D3BEA">
      <w:pPr>
        <w:pStyle w:val="ListBullet"/>
        <w:rPr>
          <w:sz w:val="24"/>
          <w:szCs w:val="24"/>
        </w:rPr>
      </w:pPr>
      <w:r w:rsidRPr="003D3BEA">
        <w:rPr>
          <w:sz w:val="24"/>
          <w:szCs w:val="24"/>
        </w:rPr>
        <w:t xml:space="preserve">Participants and officials rotate to cooler, shaded areas. </w:t>
      </w:r>
    </w:p>
    <w:p w14:paraId="75A55FAC" w14:textId="77777777" w:rsidR="003D3BEA" w:rsidRPr="003D3BEA" w:rsidRDefault="003D3BEA" w:rsidP="003D3BEA">
      <w:pPr>
        <w:numPr>
          <w:ilvl w:val="0"/>
          <w:numId w:val="3"/>
        </w:numPr>
        <w:spacing w:after="120"/>
        <w:rPr>
          <w:b/>
          <w:sz w:val="24"/>
          <w:szCs w:val="24"/>
        </w:rPr>
      </w:pPr>
      <w:r w:rsidRPr="003D3BEA">
        <w:rPr>
          <w:sz w:val="24"/>
          <w:szCs w:val="24"/>
        </w:rPr>
        <w:br w:type="column"/>
      </w:r>
      <w:r w:rsidRPr="003D3BEA">
        <w:rPr>
          <w:rFonts w:eastAsia="MS Mincho"/>
          <w:b/>
          <w:sz w:val="24"/>
          <w:szCs w:val="24"/>
        </w:rPr>
        <w:lastRenderedPageBreak/>
        <w:t>Sunglasses</w:t>
      </w:r>
    </w:p>
    <w:p w14:paraId="64542E43" w14:textId="77777777" w:rsidR="003D3BEA" w:rsidRPr="003D3BEA" w:rsidRDefault="003D3BEA" w:rsidP="003D3BEA">
      <w:pPr>
        <w:pStyle w:val="ListBullet"/>
        <w:rPr>
          <w:sz w:val="24"/>
          <w:szCs w:val="24"/>
        </w:rPr>
      </w:pPr>
      <w:r w:rsidRPr="003D3BEA">
        <w:rPr>
          <w:sz w:val="24"/>
          <w:szCs w:val="24"/>
        </w:rPr>
        <w:t>Participants are advised to wear sunglasses that meet the Australian standard (ASNZS 1067:2016).</w:t>
      </w:r>
    </w:p>
    <w:p w14:paraId="0C7FA605" w14:textId="77777777" w:rsidR="003D3BEA" w:rsidRPr="003D3BEA" w:rsidRDefault="003D3BEA" w:rsidP="003D3BEA">
      <w:pPr>
        <w:spacing w:after="120"/>
        <w:ind w:left="709" w:hanging="283"/>
        <w:rPr>
          <w:rFonts w:eastAsia="MS Mincho"/>
          <w:sz w:val="24"/>
          <w:szCs w:val="24"/>
        </w:rPr>
      </w:pPr>
    </w:p>
    <w:p w14:paraId="1810D3F4" w14:textId="77777777" w:rsidR="003D3BEA" w:rsidRPr="003D3BEA" w:rsidRDefault="003D3BEA" w:rsidP="003D3BEA">
      <w:pPr>
        <w:spacing w:after="120"/>
        <w:ind w:left="709" w:hanging="709"/>
        <w:rPr>
          <w:rFonts w:eastAsia="MS Mincho" w:cs="Arial"/>
          <w:b/>
          <w:sz w:val="24"/>
          <w:szCs w:val="24"/>
        </w:rPr>
      </w:pPr>
      <w:r w:rsidRPr="003D3BEA">
        <w:rPr>
          <w:rFonts w:eastAsia="MS Mincho" w:cs="Arial"/>
          <w:b/>
          <w:sz w:val="24"/>
          <w:szCs w:val="24"/>
        </w:rPr>
        <w:t>Education and information</w:t>
      </w:r>
    </w:p>
    <w:p w14:paraId="589FEBB7" w14:textId="77777777" w:rsidR="003D3BEA" w:rsidRPr="003D3BEA" w:rsidRDefault="003D3BEA" w:rsidP="003D3BEA">
      <w:pPr>
        <w:pStyle w:val="ListBullet"/>
        <w:rPr>
          <w:sz w:val="24"/>
          <w:szCs w:val="24"/>
        </w:rPr>
      </w:pPr>
      <w:r w:rsidRPr="003D3BEA">
        <w:rPr>
          <w:sz w:val="24"/>
          <w:szCs w:val="24"/>
        </w:rPr>
        <w:t>The times when sun protection is required (as determined by SunSmart’s daily local sun protection times) are communicated to participants and spectators.</w:t>
      </w:r>
    </w:p>
    <w:p w14:paraId="0A22AE8A" w14:textId="77777777" w:rsidR="003D3BEA" w:rsidRPr="003D3BEA" w:rsidRDefault="003D3BEA" w:rsidP="003D3BEA">
      <w:pPr>
        <w:pStyle w:val="ListBullet"/>
        <w:numPr>
          <w:ilvl w:val="0"/>
          <w:numId w:val="0"/>
        </w:numPr>
        <w:ind w:left="360"/>
        <w:rPr>
          <w:sz w:val="24"/>
          <w:szCs w:val="24"/>
        </w:rPr>
      </w:pPr>
    </w:p>
    <w:p w14:paraId="6F8E9C8D" w14:textId="77777777" w:rsidR="003D3BEA" w:rsidRPr="003D3BEA" w:rsidRDefault="003D3BEA" w:rsidP="003D3BEA">
      <w:pPr>
        <w:spacing w:after="120"/>
        <w:ind w:left="709" w:hanging="709"/>
        <w:rPr>
          <w:rFonts w:eastAsia="MS Mincho" w:cs="Arial"/>
          <w:b/>
          <w:sz w:val="24"/>
          <w:szCs w:val="24"/>
        </w:rPr>
      </w:pPr>
      <w:r w:rsidRPr="003D3BEA">
        <w:rPr>
          <w:rFonts w:eastAsia="MS Mincho" w:cs="Arial"/>
          <w:b/>
          <w:sz w:val="24"/>
          <w:szCs w:val="24"/>
        </w:rPr>
        <w:t>Review</w:t>
      </w:r>
    </w:p>
    <w:p w14:paraId="4D18C4CF" w14:textId="77777777" w:rsidR="003D3BEA" w:rsidRPr="003D3BEA" w:rsidRDefault="003D3BEA" w:rsidP="003D3BEA">
      <w:pPr>
        <w:pStyle w:val="ListBullet"/>
        <w:rPr>
          <w:sz w:val="24"/>
          <w:szCs w:val="24"/>
        </w:rPr>
      </w:pPr>
      <w:r w:rsidRPr="003D3BEA">
        <w:rPr>
          <w:sz w:val="24"/>
          <w:szCs w:val="24"/>
        </w:rPr>
        <w:t>This SunSmart policy will be reviewed regularly.</w:t>
      </w:r>
    </w:p>
    <w:p w14:paraId="4A430F24" w14:textId="222BD1AC" w:rsidR="003D3BEA" w:rsidRPr="003D3BEA" w:rsidRDefault="003D3BEA" w:rsidP="003D3BEA">
      <w:pPr>
        <w:pStyle w:val="ListBullet"/>
        <w:rPr>
          <w:rFonts w:eastAsia="MS Mincho"/>
          <w:sz w:val="24"/>
          <w:szCs w:val="24"/>
        </w:rPr>
      </w:pPr>
      <w:r w:rsidRPr="003D3BEA">
        <w:rPr>
          <w:rFonts w:eastAsia="MS Mincho"/>
          <w:sz w:val="24"/>
          <w:szCs w:val="24"/>
        </w:rPr>
        <w:t xml:space="preserve">This policy was last updated </w:t>
      </w:r>
      <w:r w:rsidR="0034194F">
        <w:rPr>
          <w:rFonts w:eastAsia="MS Mincho"/>
          <w:sz w:val="24"/>
          <w:szCs w:val="24"/>
        </w:rPr>
        <w:t>September, 2020.</w:t>
      </w:r>
    </w:p>
    <w:p w14:paraId="09A8BF09" w14:textId="2B37FE1D" w:rsidR="003D3BEA" w:rsidRPr="003D3BEA" w:rsidRDefault="003D3BEA" w:rsidP="003D3BEA">
      <w:pPr>
        <w:pStyle w:val="ListBullet"/>
        <w:rPr>
          <w:rFonts w:eastAsia="MS Mincho"/>
          <w:sz w:val="24"/>
          <w:szCs w:val="24"/>
        </w:rPr>
      </w:pPr>
      <w:r w:rsidRPr="003D3BEA">
        <w:rPr>
          <w:rFonts w:eastAsia="MS Mincho"/>
          <w:sz w:val="24"/>
          <w:szCs w:val="24"/>
        </w:rPr>
        <w:t xml:space="preserve">Next policy review: </w:t>
      </w:r>
      <w:r w:rsidR="0034194F">
        <w:rPr>
          <w:rFonts w:eastAsia="MS Mincho"/>
          <w:sz w:val="24"/>
          <w:szCs w:val="24"/>
        </w:rPr>
        <w:t>September, 2022.</w:t>
      </w:r>
    </w:p>
    <w:p w14:paraId="29B55F6A" w14:textId="77777777" w:rsidR="003D3BEA" w:rsidRPr="003D3BEA" w:rsidRDefault="003D3BEA" w:rsidP="003D3BEA">
      <w:pPr>
        <w:pStyle w:val="Heading4"/>
        <w:rPr>
          <w:rFonts w:ascii="Arial" w:eastAsia="MS Mincho" w:hAnsi="Arial" w:cs="Arial"/>
          <w:sz w:val="24"/>
          <w:szCs w:val="24"/>
        </w:rPr>
      </w:pPr>
      <w:r w:rsidRPr="003D3BEA">
        <w:rPr>
          <w:rFonts w:ascii="Arial" w:eastAsia="MS Mincho" w:hAnsi="Arial" w:cs="Arial"/>
          <w:sz w:val="24"/>
          <w:szCs w:val="24"/>
        </w:rPr>
        <w:t>Relevant documents and links</w:t>
      </w:r>
    </w:p>
    <w:p w14:paraId="2E1A2041" w14:textId="77777777" w:rsidR="003D3BEA" w:rsidRPr="003D3BEA" w:rsidRDefault="003D3BEA" w:rsidP="003D3BEA">
      <w:pPr>
        <w:pStyle w:val="ListBullet"/>
        <w:rPr>
          <w:sz w:val="24"/>
          <w:szCs w:val="24"/>
        </w:rPr>
      </w:pPr>
      <w:r w:rsidRPr="003D3BEA">
        <w:rPr>
          <w:rFonts w:cs="Times New Roman"/>
          <w:b/>
          <w:sz w:val="24"/>
          <w:szCs w:val="24"/>
        </w:rPr>
        <w:t>SunSmart</w:t>
      </w:r>
      <w:r w:rsidRPr="003D3BEA">
        <w:rPr>
          <w:sz w:val="24"/>
          <w:szCs w:val="24"/>
        </w:rPr>
        <w:t xml:space="preserve">: </w:t>
      </w:r>
      <w:hyperlink r:id="rId6" w:history="1">
        <w:r w:rsidRPr="003D3BEA">
          <w:rPr>
            <w:rStyle w:val="Hyperlink"/>
            <w:sz w:val="24"/>
            <w:szCs w:val="24"/>
          </w:rPr>
          <w:t>sunsmart.com.au</w:t>
        </w:r>
      </w:hyperlink>
    </w:p>
    <w:p w14:paraId="3B5420AD" w14:textId="77777777" w:rsidR="003D3BEA" w:rsidRPr="003D3BEA" w:rsidRDefault="003D3BEA" w:rsidP="003D3BEA">
      <w:pPr>
        <w:pStyle w:val="ListBullet"/>
        <w:rPr>
          <w:sz w:val="24"/>
          <w:szCs w:val="24"/>
        </w:rPr>
      </w:pPr>
      <w:r w:rsidRPr="003D3BEA">
        <w:rPr>
          <w:rFonts w:cs="Times New Roman"/>
          <w:b/>
          <w:sz w:val="24"/>
          <w:szCs w:val="24"/>
        </w:rPr>
        <w:t>SunSmart widget</w:t>
      </w:r>
      <w:r w:rsidRPr="003D3BEA">
        <w:rPr>
          <w:sz w:val="24"/>
          <w:szCs w:val="24"/>
        </w:rPr>
        <w:t xml:space="preserve">: </w:t>
      </w:r>
      <w:hyperlink r:id="rId7" w:history="1">
        <w:r w:rsidRPr="003D3BEA">
          <w:rPr>
            <w:rStyle w:val="Hyperlink"/>
            <w:sz w:val="24"/>
            <w:szCs w:val="24"/>
          </w:rPr>
          <w:t>sunsmart.com.au/uv-sun-protection/uv/uv-widget</w:t>
        </w:r>
      </w:hyperlink>
    </w:p>
    <w:p w14:paraId="25765621" w14:textId="77777777" w:rsidR="003D3BEA" w:rsidRPr="003D3BEA" w:rsidRDefault="0034194F" w:rsidP="003D3BEA">
      <w:pPr>
        <w:pStyle w:val="ListBullet"/>
        <w:rPr>
          <w:sz w:val="24"/>
          <w:szCs w:val="24"/>
        </w:rPr>
      </w:pPr>
      <w:hyperlink r:id="rId8" w:history="1">
        <w:r w:rsidR="003D3BEA" w:rsidRPr="003D3BEA">
          <w:rPr>
            <w:rStyle w:val="Hyperlink"/>
            <w:b/>
            <w:color w:val="auto"/>
            <w:sz w:val="24"/>
            <w:szCs w:val="24"/>
          </w:rPr>
          <w:t>SunSmart app</w:t>
        </w:r>
      </w:hyperlink>
      <w:r w:rsidR="003D3BEA" w:rsidRPr="003D3BEA">
        <w:rPr>
          <w:sz w:val="24"/>
          <w:szCs w:val="24"/>
        </w:rPr>
        <w:t xml:space="preserve">: </w:t>
      </w:r>
      <w:hyperlink r:id="rId9" w:history="1">
        <w:r w:rsidR="003D3BEA" w:rsidRPr="003D3BEA">
          <w:rPr>
            <w:rStyle w:val="Hyperlink"/>
            <w:sz w:val="24"/>
            <w:szCs w:val="24"/>
          </w:rPr>
          <w:t>sunsmart.com.au/app</w:t>
        </w:r>
      </w:hyperlink>
    </w:p>
    <w:p w14:paraId="47D2FC31" w14:textId="77777777" w:rsidR="003D3BEA" w:rsidRPr="003D3BEA" w:rsidRDefault="003D3BEA" w:rsidP="003D3BEA">
      <w:pPr>
        <w:pStyle w:val="ListBullet"/>
        <w:rPr>
          <w:sz w:val="24"/>
          <w:szCs w:val="24"/>
        </w:rPr>
      </w:pPr>
      <w:r w:rsidRPr="003D3BEA">
        <w:rPr>
          <w:rStyle w:val="Strong"/>
          <w:color w:val="000000"/>
          <w:sz w:val="24"/>
          <w:szCs w:val="24"/>
        </w:rPr>
        <w:t>Heat and UV Guide</w:t>
      </w:r>
      <w:r w:rsidRPr="003D3BEA">
        <w:rPr>
          <w:rStyle w:val="Strong"/>
          <w:b w:val="0"/>
          <w:color w:val="000000"/>
          <w:sz w:val="24"/>
          <w:szCs w:val="24"/>
        </w:rPr>
        <w:t>:</w:t>
      </w:r>
      <w:r w:rsidRPr="003D3BEA">
        <w:rPr>
          <w:sz w:val="24"/>
          <w:szCs w:val="24"/>
        </w:rPr>
        <w:br/>
      </w:r>
      <w:hyperlink r:id="rId10" w:history="1">
        <w:r w:rsidRPr="003D3BEA">
          <w:rPr>
            <w:rStyle w:val="Hyperlink"/>
            <w:sz w:val="24"/>
            <w:szCs w:val="24"/>
          </w:rPr>
          <w:t>sunsmart.com.au/downloads/communities/sports-clubs/uv-exposure-heat-illness-guide.pdf</w:t>
        </w:r>
      </w:hyperlink>
    </w:p>
    <w:p w14:paraId="0421B33B" w14:textId="77777777" w:rsidR="003D3BEA" w:rsidRPr="003D3BEA" w:rsidRDefault="003D3BEA" w:rsidP="003D3BEA">
      <w:pPr>
        <w:pStyle w:val="ListBullet"/>
        <w:rPr>
          <w:rStyle w:val="Hyperlink"/>
          <w:sz w:val="24"/>
          <w:szCs w:val="24"/>
        </w:rPr>
      </w:pPr>
      <w:r w:rsidRPr="003D3BEA">
        <w:rPr>
          <w:b/>
          <w:sz w:val="24"/>
          <w:szCs w:val="24"/>
        </w:rPr>
        <w:t>Shade audit</w:t>
      </w:r>
      <w:r w:rsidRPr="003D3BEA">
        <w:rPr>
          <w:sz w:val="24"/>
          <w:szCs w:val="24"/>
        </w:rPr>
        <w:t>:</w:t>
      </w:r>
      <w:r w:rsidRPr="003D3BEA">
        <w:rPr>
          <w:b/>
          <w:sz w:val="24"/>
          <w:szCs w:val="24"/>
        </w:rPr>
        <w:t xml:space="preserve"> </w:t>
      </w:r>
      <w:r w:rsidRPr="003D3BEA">
        <w:rPr>
          <w:rStyle w:val="Hyperlink"/>
          <w:rFonts w:cs="Arial"/>
          <w:sz w:val="24"/>
          <w:szCs w:val="24"/>
        </w:rPr>
        <w:t>sunsmart.com.au/shade-audit/</w:t>
      </w:r>
    </w:p>
    <w:p w14:paraId="1BE5803B" w14:textId="77777777" w:rsidR="003D3BEA" w:rsidRPr="003D3BEA" w:rsidRDefault="003D3BEA" w:rsidP="003D3BEA">
      <w:pPr>
        <w:pStyle w:val="ListBullet"/>
        <w:rPr>
          <w:sz w:val="24"/>
          <w:szCs w:val="24"/>
        </w:rPr>
      </w:pPr>
      <w:r w:rsidRPr="003D3BEA">
        <w:rPr>
          <w:rFonts w:cs="Arial"/>
          <w:b/>
          <w:sz w:val="24"/>
          <w:szCs w:val="24"/>
          <w:lang w:val="en-AU"/>
        </w:rPr>
        <w:t>Australian Government Therapeutics Goods Administration (TGA) – Australian regulatory guidelines for sunscreens</w:t>
      </w:r>
      <w:r w:rsidRPr="003D3BEA">
        <w:rPr>
          <w:rFonts w:cs="Arial"/>
          <w:sz w:val="24"/>
          <w:szCs w:val="24"/>
          <w:lang w:val="en-AU"/>
        </w:rPr>
        <w:t xml:space="preserve">: </w:t>
      </w:r>
      <w:hyperlink r:id="rId11" w:history="1">
        <w:r w:rsidRPr="003D3BEA">
          <w:rPr>
            <w:rStyle w:val="Hyperlink"/>
            <w:rFonts w:cs="Arial"/>
            <w:sz w:val="24"/>
            <w:szCs w:val="24"/>
            <w:lang w:val="en-AU"/>
          </w:rPr>
          <w:t>4. Labelling and advertising – directions for use of the product</w:t>
        </w:r>
      </w:hyperlink>
    </w:p>
    <w:p w14:paraId="4E7507D6" w14:textId="77777777" w:rsidR="003D3BEA" w:rsidRPr="003D3BEA" w:rsidRDefault="003D3BEA" w:rsidP="003D3BEA">
      <w:pPr>
        <w:pStyle w:val="ListBullet"/>
        <w:rPr>
          <w:b/>
          <w:sz w:val="24"/>
          <w:szCs w:val="24"/>
        </w:rPr>
      </w:pPr>
      <w:r w:rsidRPr="003D3BEA">
        <w:rPr>
          <w:b/>
          <w:sz w:val="24"/>
          <w:szCs w:val="24"/>
        </w:rPr>
        <w:t xml:space="preserve">ARPANSA </w:t>
      </w:r>
      <w:hyperlink r:id="rId12" w:history="1">
        <w:r w:rsidRPr="003D3BEA">
          <w:rPr>
            <w:rStyle w:val="Hyperlink"/>
            <w:b/>
            <w:color w:val="auto"/>
            <w:sz w:val="24"/>
            <w:szCs w:val="24"/>
          </w:rPr>
          <w:t>Radiation Protection Standard for Occupational Exposure to Ultraviolet Radiation</w:t>
        </w:r>
      </w:hyperlink>
      <w:r w:rsidRPr="003D3BEA">
        <w:rPr>
          <w:b/>
          <w:sz w:val="24"/>
          <w:szCs w:val="24"/>
        </w:rPr>
        <w:t xml:space="preserve"> (2006) </w:t>
      </w:r>
    </w:p>
    <w:p w14:paraId="7ABA839E" w14:textId="77777777" w:rsidR="003D3BEA" w:rsidRPr="003D3BEA" w:rsidRDefault="003D3BEA" w:rsidP="003D3BEA">
      <w:pPr>
        <w:pStyle w:val="ListBullet"/>
        <w:rPr>
          <w:rFonts w:cs="Arial"/>
          <w:sz w:val="24"/>
          <w:szCs w:val="24"/>
          <w:lang w:val="en-AU"/>
        </w:rPr>
      </w:pPr>
      <w:r w:rsidRPr="003D3BEA">
        <w:rPr>
          <w:rFonts w:cs="Arial"/>
          <w:b/>
          <w:sz w:val="24"/>
          <w:szCs w:val="24"/>
          <w:lang w:val="en-AU"/>
        </w:rPr>
        <w:t>Safe Work Australia</w:t>
      </w:r>
      <w:r w:rsidRPr="003D3BEA">
        <w:rPr>
          <w:rFonts w:cs="Arial"/>
          <w:sz w:val="24"/>
          <w:szCs w:val="24"/>
          <w:lang w:val="en-AU"/>
        </w:rPr>
        <w:t xml:space="preserve">: </w:t>
      </w:r>
      <w:hyperlink r:id="rId13" w:history="1">
        <w:r w:rsidRPr="003D3BEA">
          <w:rPr>
            <w:rStyle w:val="Hyperlink"/>
            <w:rFonts w:cs="Arial"/>
            <w:sz w:val="24"/>
            <w:szCs w:val="24"/>
            <w:lang w:val="en-AU"/>
          </w:rPr>
          <w:t>Guidance Note – Sun protection for outdoor workers</w:t>
        </w:r>
      </w:hyperlink>
      <w:r w:rsidRPr="003D3BEA">
        <w:rPr>
          <w:rFonts w:cs="Arial"/>
          <w:sz w:val="24"/>
          <w:szCs w:val="24"/>
          <w:lang w:val="en-AU"/>
        </w:rPr>
        <w:t xml:space="preserve"> (2016)</w:t>
      </w:r>
    </w:p>
    <w:p w14:paraId="60582D4C" w14:textId="77777777" w:rsidR="003D3BEA" w:rsidRPr="003D3BEA" w:rsidRDefault="003D3BEA" w:rsidP="003D3BEA">
      <w:pPr>
        <w:pStyle w:val="ListBullet"/>
        <w:numPr>
          <w:ilvl w:val="0"/>
          <w:numId w:val="0"/>
        </w:numPr>
        <w:rPr>
          <w:sz w:val="24"/>
          <w:szCs w:val="24"/>
        </w:rPr>
      </w:pPr>
    </w:p>
    <w:p w14:paraId="31CEA1D7" w14:textId="77777777" w:rsidR="003D3BEA" w:rsidRPr="003D3BEA" w:rsidRDefault="003D3BEA" w:rsidP="003D3BEA">
      <w:pPr>
        <w:pStyle w:val="ListBullet"/>
        <w:numPr>
          <w:ilvl w:val="0"/>
          <w:numId w:val="0"/>
        </w:numPr>
        <w:rPr>
          <w:sz w:val="24"/>
          <w:szCs w:val="24"/>
        </w:rPr>
      </w:pPr>
      <w:r w:rsidRPr="003D3BEA">
        <w:rPr>
          <w:sz w:val="24"/>
          <w:szCs w:val="24"/>
        </w:rPr>
        <w:t>For more information contact SunSmart:</w:t>
      </w:r>
    </w:p>
    <w:p w14:paraId="5F2377CA" w14:textId="77777777" w:rsidR="003D3BEA" w:rsidRPr="003D3BEA" w:rsidRDefault="003D3BEA" w:rsidP="003D3BEA">
      <w:pPr>
        <w:pStyle w:val="ListBullet"/>
        <w:numPr>
          <w:ilvl w:val="0"/>
          <w:numId w:val="0"/>
        </w:numPr>
        <w:rPr>
          <w:sz w:val="24"/>
          <w:szCs w:val="24"/>
        </w:rPr>
      </w:pPr>
      <w:r w:rsidRPr="003D3BEA">
        <w:rPr>
          <w:sz w:val="24"/>
          <w:szCs w:val="24"/>
        </w:rPr>
        <w:t xml:space="preserve">W: </w:t>
      </w:r>
      <w:hyperlink r:id="rId14" w:history="1">
        <w:r w:rsidRPr="003D3BEA">
          <w:rPr>
            <w:rStyle w:val="Hyperlink"/>
            <w:sz w:val="24"/>
            <w:szCs w:val="24"/>
          </w:rPr>
          <w:t>sunsmart.com.au</w:t>
        </w:r>
      </w:hyperlink>
    </w:p>
    <w:p w14:paraId="6EB7738C" w14:textId="77777777" w:rsidR="003D3BEA" w:rsidRPr="003D3BEA" w:rsidRDefault="003D3BEA" w:rsidP="003D3BEA">
      <w:pPr>
        <w:pStyle w:val="ListBullet"/>
        <w:numPr>
          <w:ilvl w:val="0"/>
          <w:numId w:val="0"/>
        </w:numPr>
        <w:rPr>
          <w:sz w:val="24"/>
          <w:szCs w:val="24"/>
        </w:rPr>
      </w:pPr>
      <w:r w:rsidRPr="003D3BEA">
        <w:rPr>
          <w:sz w:val="24"/>
          <w:szCs w:val="24"/>
        </w:rPr>
        <w:t>P: (03) 9514 6419</w:t>
      </w:r>
    </w:p>
    <w:p w14:paraId="0ED8A2AC" w14:textId="77777777" w:rsidR="003D3BEA" w:rsidRPr="003D3BEA" w:rsidRDefault="003D3BEA" w:rsidP="003D3BEA">
      <w:pPr>
        <w:pStyle w:val="ListBullet"/>
        <w:numPr>
          <w:ilvl w:val="0"/>
          <w:numId w:val="0"/>
        </w:numPr>
        <w:rPr>
          <w:sz w:val="24"/>
          <w:szCs w:val="24"/>
        </w:rPr>
      </w:pPr>
      <w:r w:rsidRPr="003D3BEA">
        <w:rPr>
          <w:sz w:val="24"/>
          <w:szCs w:val="24"/>
        </w:rPr>
        <w:t xml:space="preserve">E: </w:t>
      </w:r>
      <w:hyperlink r:id="rId15" w:history="1">
        <w:r w:rsidRPr="003D3BEA">
          <w:rPr>
            <w:rStyle w:val="Hyperlink"/>
            <w:sz w:val="24"/>
            <w:szCs w:val="24"/>
          </w:rPr>
          <w:t>sunsmart@cancervic.org.au</w:t>
        </w:r>
      </w:hyperlink>
    </w:p>
    <w:p w14:paraId="27E547AC" w14:textId="77777777" w:rsidR="003D3BEA" w:rsidRPr="003D3BEA" w:rsidRDefault="003D3BEA" w:rsidP="003D3BEA">
      <w:pPr>
        <w:pStyle w:val="PlainText"/>
        <w:spacing w:after="120"/>
        <w:rPr>
          <w:rFonts w:ascii="Arial" w:eastAsia="MS Mincho" w:hAnsi="Arial"/>
          <w:b/>
          <w:sz w:val="24"/>
        </w:rPr>
      </w:pPr>
    </w:p>
    <w:p w14:paraId="21FB6B40" w14:textId="77777777" w:rsidR="003D3BEA" w:rsidRPr="003D3BEA" w:rsidRDefault="003D3BEA" w:rsidP="003D3BEA">
      <w:pPr>
        <w:pStyle w:val="PlainText"/>
        <w:spacing w:after="120"/>
        <w:rPr>
          <w:rFonts w:ascii="Arial" w:eastAsia="MS Mincho" w:hAnsi="Arial"/>
          <w:b/>
          <w:sz w:val="24"/>
        </w:rPr>
      </w:pPr>
      <w:r w:rsidRPr="003D3BEA">
        <w:rPr>
          <w:rFonts w:ascii="Arial" w:eastAsia="MS Mincho" w:hAnsi="Arial"/>
          <w:b/>
          <w:sz w:val="24"/>
        </w:rPr>
        <w:t xml:space="preserve">Disclaimer </w:t>
      </w:r>
    </w:p>
    <w:p w14:paraId="454E40F4" w14:textId="2FEBBE08" w:rsidR="003D3BEA" w:rsidRPr="003D3BEA" w:rsidRDefault="003D3BEA" w:rsidP="003D3BEA">
      <w:pPr>
        <w:pStyle w:val="PlainText"/>
        <w:spacing w:after="120"/>
        <w:rPr>
          <w:rFonts w:ascii="Arial" w:eastAsia="MS Mincho" w:hAnsi="Arial"/>
          <w:sz w:val="24"/>
        </w:rPr>
      </w:pPr>
      <w:r w:rsidRPr="003D3BEA">
        <w:rPr>
          <w:noProof/>
          <w:sz w:val="24"/>
        </w:rPr>
        <mc:AlternateContent>
          <mc:Choice Requires="wps">
            <w:drawing>
              <wp:anchor distT="0" distB="0" distL="114300" distR="114300" simplePos="0" relativeHeight="251658240" behindDoc="0" locked="0" layoutInCell="1" allowOverlap="1" wp14:anchorId="68CC3D4E" wp14:editId="5AB6BFDF">
                <wp:simplePos x="0" y="0"/>
                <wp:positionH relativeFrom="column">
                  <wp:posOffset>-108585</wp:posOffset>
                </wp:positionH>
                <wp:positionV relativeFrom="paragraph">
                  <wp:posOffset>854710</wp:posOffset>
                </wp:positionV>
                <wp:extent cx="3114675" cy="600075"/>
                <wp:effectExtent l="0" t="0"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EA632" w14:textId="77777777" w:rsidR="003D3BEA" w:rsidRDefault="003D3BEA" w:rsidP="003D3B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C3D4E" id="_x0000_t202" coordsize="21600,21600" o:spt="202" path="m,l,21600r21600,l21600,xe">
                <v:stroke joinstyle="miter"/>
                <v:path gradientshapeok="t" o:connecttype="rect"/>
              </v:shapetype>
              <v:shape id="Text Box 1" o:spid="_x0000_s1026" type="#_x0000_t202" style="position:absolute;margin-left:-8.55pt;margin-top:67.3pt;width:245.2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" filled="f" stroked="f">
                <v:textbox>
                  <w:txbxContent>
                    <w:p w14:paraId="106EA632" w14:textId="77777777" w:rsidR="003D3BEA" w:rsidRDefault="003D3BEA" w:rsidP="003D3BEA"/>
                  </w:txbxContent>
                </v:textbox>
              </v:shape>
            </w:pict>
          </mc:Fallback>
        </mc:AlternateContent>
      </w:r>
      <w:r w:rsidRPr="003D3BEA">
        <w:rPr>
          <w:rFonts w:ascii="Arial" w:eastAsia="MS Mincho" w:hAnsi="Arial"/>
          <w:sz w:val="24"/>
        </w:rPr>
        <w:t>The information contained in this guide is general in nature and does not constitute medical advice from your doctor or health professional. While all reasonable attempts have been made to ensure the accuracy of the information contained in this guide, SunSmart and associated parties cannot accept responsibility for loss, injury, claim or damage resulting from the use or application of information within this guide.</w:t>
      </w:r>
    </w:p>
    <w:p w14:paraId="5135D116" w14:textId="77777777" w:rsidR="003D3BEA" w:rsidRPr="003D3BEA" w:rsidRDefault="003D3BEA">
      <w:pPr>
        <w:rPr>
          <w:sz w:val="24"/>
          <w:szCs w:val="24"/>
        </w:rPr>
      </w:pPr>
    </w:p>
    <w:sectPr w:rsidR="003D3BEA" w:rsidRPr="003D3BEA" w:rsidSect="003D3BEA">
      <w:pgSz w:w="11906" w:h="16838"/>
      <w:pgMar w:top="720" w:right="1021" w:bottom="72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96BAC"/>
    <w:multiLevelType w:val="hybridMultilevel"/>
    <w:tmpl w:val="2B40A9D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49C55C40"/>
    <w:multiLevelType w:val="hybridMultilevel"/>
    <w:tmpl w:val="B0E618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4D40599A"/>
    <w:multiLevelType w:val="hybridMultilevel"/>
    <w:tmpl w:val="6A8019F6"/>
    <w:lvl w:ilvl="0" w:tplc="33FCA9BA">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EA"/>
    <w:rsid w:val="0034194F"/>
    <w:rsid w:val="003D3BEA"/>
    <w:rsid w:val="009554B8"/>
    <w:rsid w:val="00A84F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F6C0"/>
  <w15:chartTrackingRefBased/>
  <w15:docId w15:val="{CA82976D-09AD-4E07-9AD4-959188EF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BEA"/>
    <w:pPr>
      <w:spacing w:after="140" w:line="216" w:lineRule="auto"/>
    </w:pPr>
    <w:rPr>
      <w:rFonts w:ascii="Arial" w:eastAsia="Times New Roman" w:hAnsi="Arial" w:cs="Times New Roman"/>
      <w:sz w:val="21"/>
      <w:szCs w:val="20"/>
    </w:rPr>
  </w:style>
  <w:style w:type="paragraph" w:styleId="Heading2">
    <w:name w:val="heading 2"/>
    <w:basedOn w:val="Normal"/>
    <w:next w:val="Normal"/>
    <w:link w:val="Heading2Char"/>
    <w:semiHidden/>
    <w:unhideWhenUsed/>
    <w:qFormat/>
    <w:rsid w:val="003D3BEA"/>
    <w:pPr>
      <w:keepNext/>
      <w:spacing w:after="0" w:line="500" w:lineRule="exact"/>
      <w:outlineLvl w:val="1"/>
    </w:pPr>
    <w:rPr>
      <w:color w:val="000000"/>
      <w:spacing w:val="-20"/>
      <w:sz w:val="56"/>
      <w:szCs w:val="28"/>
    </w:rPr>
  </w:style>
  <w:style w:type="paragraph" w:styleId="Heading3">
    <w:name w:val="heading 3"/>
    <w:next w:val="Normal"/>
    <w:link w:val="Heading3Char"/>
    <w:semiHidden/>
    <w:unhideWhenUsed/>
    <w:qFormat/>
    <w:rsid w:val="003D3BEA"/>
    <w:pPr>
      <w:keepNext/>
      <w:spacing w:before="180" w:after="0" w:line="240" w:lineRule="auto"/>
      <w:outlineLvl w:val="2"/>
    </w:pPr>
    <w:rPr>
      <w:rFonts w:ascii="Arial" w:eastAsia="Times New Roman" w:hAnsi="Arial" w:cs="Times New Roman"/>
      <w:b/>
      <w:sz w:val="21"/>
      <w:szCs w:val="26"/>
    </w:rPr>
  </w:style>
  <w:style w:type="paragraph" w:styleId="Heading4">
    <w:name w:val="heading 4"/>
    <w:basedOn w:val="Normal"/>
    <w:next w:val="Normal"/>
    <w:link w:val="Heading4Char"/>
    <w:semiHidden/>
    <w:unhideWhenUsed/>
    <w:qFormat/>
    <w:rsid w:val="003D3BEA"/>
    <w:pPr>
      <w:keepNext/>
      <w:spacing w:before="240" w:after="60" w:line="240" w:lineRule="auto"/>
      <w:outlineLvl w:val="3"/>
    </w:pPr>
    <w:rPr>
      <w:rFonts w:ascii="Tahoma" w:hAnsi="Tahoma"/>
      <w:b/>
      <w:color w:val="636363"/>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D3BEA"/>
    <w:rPr>
      <w:rFonts w:ascii="Arial" w:eastAsia="Times New Roman" w:hAnsi="Arial" w:cs="Times New Roman"/>
      <w:color w:val="000000"/>
      <w:spacing w:val="-20"/>
      <w:sz w:val="56"/>
      <w:szCs w:val="28"/>
    </w:rPr>
  </w:style>
  <w:style w:type="character" w:customStyle="1" w:styleId="Heading3Char">
    <w:name w:val="Heading 3 Char"/>
    <w:basedOn w:val="DefaultParagraphFont"/>
    <w:link w:val="Heading3"/>
    <w:semiHidden/>
    <w:rsid w:val="003D3BEA"/>
    <w:rPr>
      <w:rFonts w:ascii="Arial" w:eastAsia="Times New Roman" w:hAnsi="Arial" w:cs="Times New Roman"/>
      <w:b/>
      <w:sz w:val="21"/>
      <w:szCs w:val="26"/>
    </w:rPr>
  </w:style>
  <w:style w:type="character" w:customStyle="1" w:styleId="Heading4Char">
    <w:name w:val="Heading 4 Char"/>
    <w:basedOn w:val="DefaultParagraphFont"/>
    <w:link w:val="Heading4"/>
    <w:semiHidden/>
    <w:rsid w:val="003D3BEA"/>
    <w:rPr>
      <w:rFonts w:ascii="Tahoma" w:eastAsia="Times New Roman" w:hAnsi="Tahoma" w:cs="Times New Roman"/>
      <w:b/>
      <w:color w:val="636363"/>
      <w:sz w:val="20"/>
      <w:szCs w:val="28"/>
    </w:rPr>
  </w:style>
  <w:style w:type="character" w:styleId="Hyperlink">
    <w:name w:val="Hyperlink"/>
    <w:semiHidden/>
    <w:unhideWhenUsed/>
    <w:rsid w:val="003D3BEA"/>
    <w:rPr>
      <w:color w:val="0000FF"/>
      <w:u w:val="single"/>
    </w:rPr>
  </w:style>
  <w:style w:type="paragraph" w:styleId="ListBullet">
    <w:name w:val="List Bullet"/>
    <w:basedOn w:val="Normal"/>
    <w:autoRedefine/>
    <w:semiHidden/>
    <w:unhideWhenUsed/>
    <w:rsid w:val="003D3BEA"/>
    <w:pPr>
      <w:numPr>
        <w:numId w:val="1"/>
      </w:numPr>
      <w:spacing w:after="0" w:line="240" w:lineRule="auto"/>
    </w:pPr>
    <w:rPr>
      <w:rFonts w:cs="Tahoma"/>
      <w:sz w:val="20"/>
      <w:lang w:val="en-US"/>
    </w:rPr>
  </w:style>
  <w:style w:type="paragraph" w:styleId="PlainText">
    <w:name w:val="Plain Text"/>
    <w:basedOn w:val="Normal"/>
    <w:link w:val="PlainTextChar"/>
    <w:semiHidden/>
    <w:unhideWhenUsed/>
    <w:rsid w:val="003D3BEA"/>
    <w:pPr>
      <w:spacing w:after="0" w:line="240" w:lineRule="auto"/>
    </w:pPr>
    <w:rPr>
      <w:rFonts w:ascii="Courier" w:hAnsi="Courier"/>
      <w:sz w:val="20"/>
      <w:szCs w:val="24"/>
    </w:rPr>
  </w:style>
  <w:style w:type="character" w:customStyle="1" w:styleId="PlainTextChar">
    <w:name w:val="Plain Text Char"/>
    <w:basedOn w:val="DefaultParagraphFont"/>
    <w:link w:val="PlainText"/>
    <w:semiHidden/>
    <w:rsid w:val="003D3BEA"/>
    <w:rPr>
      <w:rFonts w:ascii="Courier" w:eastAsia="Times New Roman" w:hAnsi="Courier" w:cs="Times New Roman"/>
      <w:sz w:val="20"/>
      <w:szCs w:val="24"/>
    </w:rPr>
  </w:style>
  <w:style w:type="character" w:styleId="Strong">
    <w:name w:val="Strong"/>
    <w:basedOn w:val="DefaultParagraphFont"/>
    <w:uiPriority w:val="22"/>
    <w:qFormat/>
    <w:rsid w:val="003D3BEA"/>
    <w:rPr>
      <w:b/>
      <w:bCs/>
    </w:rPr>
  </w:style>
  <w:style w:type="paragraph" w:styleId="ListParagraph">
    <w:name w:val="List Paragraph"/>
    <w:basedOn w:val="Normal"/>
    <w:uiPriority w:val="34"/>
    <w:qFormat/>
    <w:rsid w:val="003D3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77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smart.com.au/resources/sunsmart-app" TargetMode="External"/><Relationship Id="rId13" Type="http://schemas.openxmlformats.org/officeDocument/2006/relationships/hyperlink" Target="http://www.worksafe.vic.gov.au/info/__data/assets/pdf_file/0012/198687/WorkSafe_WSV17410108.16_FactSheet_final.pdf?ct=t(SunSmart_at_work9_23_2016)&amp;mc_cid=e61cd5e247&amp;mc_eid=88ecea834d" TargetMode="External"/><Relationship Id="rId3" Type="http://schemas.openxmlformats.org/officeDocument/2006/relationships/settings" Target="settings.xml"/><Relationship Id="rId7" Type="http://schemas.openxmlformats.org/officeDocument/2006/relationships/hyperlink" Target="file:///C:\Users\josborne\AppData\Local\Microsoft\Windows\Temporary%20Internet%20Files\Content.Outlook\AppData\Local\Microsoft\Windows\Temporary%20Internet%20Files\Content.Outlook\AppData\Local\Microsoft\Windows\Temporary%20Internet%20Files\Content.Outlook\AppData\Local\Microsoft\Windows\Temporary%20Internet%20Files\Content.Outlook\LQL5154T\sunsmart.com.au\uv-sun-protection\uv\uv-widget" TargetMode="External"/><Relationship Id="rId12" Type="http://schemas.openxmlformats.org/officeDocument/2006/relationships/hyperlink" Target="http://www.arpansa.gov.au/pubs/rps/rps1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unsmart.com.au/" TargetMode="External"/><Relationship Id="rId11" Type="http://schemas.openxmlformats.org/officeDocument/2006/relationships/hyperlink" Target="https://www.tga.gov.au/book/4-labelling-and-advertising" TargetMode="External"/><Relationship Id="rId5" Type="http://schemas.openxmlformats.org/officeDocument/2006/relationships/image" Target="media/image1.png"/><Relationship Id="rId15" Type="http://schemas.openxmlformats.org/officeDocument/2006/relationships/hyperlink" Target="mailto:sunsmart@cancervic.org.au" TargetMode="External"/><Relationship Id="rId10" Type="http://schemas.openxmlformats.org/officeDocument/2006/relationships/hyperlink" Target="http://www.sunsmart.com.au/downloads/communities/sports-clubs/uv-exposure-heat-illness-guide.pdf" TargetMode="External"/><Relationship Id="rId4" Type="http://schemas.openxmlformats.org/officeDocument/2006/relationships/webSettings" Target="webSettings.xml"/><Relationship Id="rId9" Type="http://schemas.openxmlformats.org/officeDocument/2006/relationships/hyperlink" Target="http://www.sunsmart.com.au/app" TargetMode="External"/><Relationship Id="rId14" Type="http://schemas.openxmlformats.org/officeDocument/2006/relationships/hyperlink" Target="http://www.sunsmar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Bell</dc:creator>
  <cp:keywords/>
  <dc:description/>
  <cp:lastModifiedBy>Jeff Bell</cp:lastModifiedBy>
  <cp:revision>2</cp:revision>
  <dcterms:created xsi:type="dcterms:W3CDTF">2020-09-04T01:57:00Z</dcterms:created>
  <dcterms:modified xsi:type="dcterms:W3CDTF">2021-09-01T01:01:00Z</dcterms:modified>
</cp:coreProperties>
</file>